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C44DC4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tym tygodniu szansa na kolejną dobrą ocenę. Do analizy dajemy wam kolejny ważny mecz historycznie dla polskiej piłki ręcznej. Finał Ligi Mistrzów z 2016 roku pomiędzy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a węgierskim MKB Veszprem. Spotkanie oglądamy od 1:37:55, aż do końca regulaminowego czasu gry 1:59:50. Wypisujemy statystyki, do tabelki, która znajduje się poniżej. Od środy będziemy łączyć się indywidualnie na czacie i sprawdzać tak jak w poprzednim tygodniu. Proszę podejść sumiennie do zadania, aby były same bardzo dobre oceny. Mecz jest z polskim komentarzem, a więc powinno się łatwiej oglądać niż ostatnio. </w:t>
      </w:r>
    </w:p>
    <w:p w:rsidR="00C44DC4" w:rsidRDefault="00C44DC4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nie było niejasności w liczeniu, to strzał niecelny liczymy jeśli piłka wyjdzie za linię końcową,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dotknięcia przez przeciwnika,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zostanie odbita od słupka, albo poprzeczki. 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Jeśli, przy faulu na rzut karny zawodnik odda strzał celny, to zapisujemy punkty w rubryce strzał celny, przewinienie popełnione, oraz rzut karny. Do obejrzenia jest tylko fragment niezwykle ciekawego meczu, więc zalecamy oglądać go bardzo spokojnie i przewijać jeśli trzeba.</w:t>
      </w:r>
      <w:r w:rsidR="00C05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Pamiętajcie, że statystyki wypisujemy tylko dla tego danego fragmentu meczu, a nie całego.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poniedziałku zostajemy do waszej dyspozycji. Bardzo proszę kontaktować się jeśli cokolwiek jest niezrozumiałe. Bardzo chętnie wam pomożemy. Pamiętajcie, że zadania będą sprawdzane od środy, według planu lekcji. Powodzenia w oglądaniu i wypisywaniu statystyk.</w:t>
      </w:r>
    </w:p>
    <w:p w:rsidR="00147356" w:rsidRDefault="00147356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Zachęcamy także do wykonywania aktywności fizycznej załączonej w poprzednich tygodniach. Każdy znajdzie tam coś dla siebie. </w:t>
      </w:r>
    </w:p>
    <w:p w:rsidR="00C44DC4" w:rsidRDefault="00B649B1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</w:pPr>
      <w:hyperlink r:id="rId8" w:history="1">
        <w:r>
          <w:rPr>
            <w:rStyle w:val="Hipercze"/>
          </w:rPr>
          <w:t>https://www.cda.pl/video/735997a6</w:t>
        </w:r>
      </w:hyperlink>
      <w:r w:rsidR="00147356">
        <w:t xml:space="preserve">  - link do meczu (oglądamy od 1:37:55 do 1:59:50)</w:t>
      </w:r>
    </w:p>
    <w:p w:rsidR="00E911A7" w:rsidRDefault="00E911A7" w:rsidP="00E911A7">
      <w: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A18" w:rsidTr="00C05A18">
        <w:tc>
          <w:tcPr>
            <w:tcW w:w="3070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VIVE KIELCE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STATYSTYKA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MKB VESZPREM</w:t>
            </w: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GOLE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bookmarkStart w:id="0" w:name="_GoBack"/>
            <w:bookmarkEnd w:id="0"/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STZRAŁY CELNE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STRZAŁY NIECELNE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KARNE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KARY MINUTOWE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PRZEWINIENIA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AUTY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 xml:space="preserve">ROŻNE 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</w:tbl>
    <w:p w:rsidR="00147356" w:rsidRDefault="00147356" w:rsidP="00E911A7"/>
    <w:sectPr w:rsidR="001473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CE" w:rsidRDefault="00C461CE" w:rsidP="00FD5D1C">
      <w:pPr>
        <w:spacing w:after="0" w:line="240" w:lineRule="auto"/>
      </w:pPr>
      <w:r>
        <w:separator/>
      </w:r>
    </w:p>
  </w:endnote>
  <w:endnote w:type="continuationSeparator" w:id="0">
    <w:p w:rsidR="00C461CE" w:rsidRDefault="00C461CE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CE" w:rsidRDefault="00C461CE" w:rsidP="00FD5D1C">
      <w:pPr>
        <w:spacing w:after="0" w:line="240" w:lineRule="auto"/>
      </w:pPr>
      <w:r>
        <w:separator/>
      </w:r>
    </w:p>
  </w:footnote>
  <w:footnote w:type="continuationSeparator" w:id="0">
    <w:p w:rsidR="00C461CE" w:rsidRDefault="00C461CE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649B1"/>
    <w:rsid w:val="00B857DD"/>
    <w:rsid w:val="00BE4192"/>
    <w:rsid w:val="00C05A18"/>
    <w:rsid w:val="00C44DC4"/>
    <w:rsid w:val="00C461CE"/>
    <w:rsid w:val="00C579B3"/>
    <w:rsid w:val="00C649E6"/>
    <w:rsid w:val="00CA78D6"/>
    <w:rsid w:val="00CC2549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735997a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8</cp:revision>
  <dcterms:created xsi:type="dcterms:W3CDTF">2020-03-21T19:43:00Z</dcterms:created>
  <dcterms:modified xsi:type="dcterms:W3CDTF">2020-04-19T19:14:00Z</dcterms:modified>
</cp:coreProperties>
</file>